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567C4B3C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2087D" w:rsidRPr="00574F4A">
        <w:rPr>
          <w:rFonts w:ascii="Times New Roman" w:hAnsi="Times New Roman"/>
          <w:b/>
          <w:bCs/>
          <w:caps/>
          <w:sz w:val="28"/>
          <w:szCs w:val="28"/>
        </w:rPr>
        <w:t>-</w:t>
      </w:r>
      <w:r w:rsidR="004E16DA">
        <w:rPr>
          <w:rFonts w:ascii="Times New Roman" w:hAnsi="Times New Roman"/>
          <w:b/>
          <w:bCs/>
          <w:caps/>
          <w:sz w:val="28"/>
          <w:szCs w:val="28"/>
        </w:rPr>
        <w:t>2.2</w:t>
      </w:r>
      <w:r w:rsidR="00574F4A">
        <w:rPr>
          <w:rFonts w:ascii="Times New Roman" w:hAnsi="Times New Roman"/>
          <w:b/>
          <w:bCs/>
          <w:caps/>
          <w:sz w:val="28"/>
          <w:szCs w:val="28"/>
        </w:rPr>
        <w:t>.4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F4A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574F4A">
        <w:rPr>
          <w:rFonts w:ascii="Times New Roman" w:hAnsi="Times New Roman"/>
          <w:b/>
          <w:bCs/>
          <w:sz w:val="28"/>
          <w:szCs w:val="28"/>
        </w:rPr>
        <w:t>orlátozott</w:t>
      </w:r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20CA13A3" w14:textId="61ADB0E0" w:rsidR="0032087D" w:rsidRPr="00F37A3D" w:rsidRDefault="00515970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970">
        <w:rPr>
          <w:rFonts w:ascii="Times New Roman" w:hAnsi="Times New Roman"/>
          <w:b/>
          <w:bCs/>
          <w:sz w:val="28"/>
          <w:szCs w:val="28"/>
        </w:rPr>
        <w:t>Hamis vagy hamisított úti okmányokkal kapcsolatos információcserét támogató rendszerek továbbműködtetése, fejlesztése</w:t>
      </w:r>
      <w:r w:rsidR="00574F4A" w:rsidRPr="00574F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720E" w:rsidRPr="00574F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bookmarkStart w:id="0" w:name="_GoBack"/>
        <w:bookmarkEnd w:id="0"/>
        <w:p w14:paraId="6B987538" w14:textId="77777777" w:rsidR="00E56CD8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073" w:history="1">
            <w:r w:rsidR="00E56CD8" w:rsidRPr="00550FCE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E56CD8">
              <w:rPr>
                <w:noProof/>
                <w:webHidden/>
              </w:rPr>
              <w:tab/>
            </w:r>
            <w:r w:rsidR="00E56CD8">
              <w:rPr>
                <w:noProof/>
                <w:webHidden/>
              </w:rPr>
              <w:fldChar w:fldCharType="begin"/>
            </w:r>
            <w:r w:rsidR="00E56CD8">
              <w:rPr>
                <w:noProof/>
                <w:webHidden/>
              </w:rPr>
              <w:instrText xml:space="preserve"> PAGEREF _Toc11685073 \h </w:instrText>
            </w:r>
            <w:r w:rsidR="00E56CD8">
              <w:rPr>
                <w:noProof/>
                <w:webHidden/>
              </w:rPr>
            </w:r>
            <w:r w:rsidR="00E56CD8">
              <w:rPr>
                <w:noProof/>
                <w:webHidden/>
              </w:rPr>
              <w:fldChar w:fldCharType="separate"/>
            </w:r>
            <w:r w:rsidR="00E56CD8">
              <w:rPr>
                <w:noProof/>
                <w:webHidden/>
              </w:rPr>
              <w:t>4</w:t>
            </w:r>
            <w:r w:rsidR="00E56CD8">
              <w:rPr>
                <w:noProof/>
                <w:webHidden/>
              </w:rPr>
              <w:fldChar w:fldCharType="end"/>
            </w:r>
          </w:hyperlink>
        </w:p>
        <w:p w14:paraId="52D5C3FA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74" w:history="1">
            <w:r w:rsidRPr="00550FCE">
              <w:rPr>
                <w:rStyle w:val="Hiperhivatkozs"/>
              </w:rPr>
              <w:t>I.1. Általános információk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DCC378B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75" w:history="1">
            <w:r w:rsidRPr="00550FCE">
              <w:rPr>
                <w:rStyle w:val="Hiperhivatkozs"/>
              </w:rPr>
              <w:t>I.1.1. A támogatási kérelmek benyújtásának módja, helye és ideje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E7BB4A6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76" w:history="1">
            <w:r w:rsidRPr="00550FCE">
              <w:rPr>
                <w:rStyle w:val="Hiperhivatkozs"/>
              </w:rPr>
              <w:t>I.1.2. A támogatást igénylők tájékoztatása, értesítése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ACE2688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77" w:history="1">
            <w:r w:rsidRPr="00550FCE">
              <w:rPr>
                <w:rStyle w:val="Hiperhivatkozs"/>
              </w:rPr>
              <w:t>I.2. Pénzügyi információk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1A934A1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78" w:history="1">
            <w:r w:rsidRPr="00550FCE">
              <w:rPr>
                <w:rStyle w:val="Hiperhivatkozs"/>
              </w:rPr>
              <w:t>I.2.1 Általános információk, a finanszírozás módja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354DCD4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79" w:history="1">
            <w:r w:rsidRPr="00550FCE">
              <w:rPr>
                <w:rStyle w:val="Hiperhivatkozs"/>
              </w:rPr>
              <w:t>I.3. Célcsoport/ egyéb közreműködők és támogatható intézkedések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9A890C6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80" w:history="1">
            <w:r w:rsidRPr="00550FCE">
              <w:rPr>
                <w:rStyle w:val="Hiperhivatkozs"/>
              </w:rPr>
              <w:t>I.3.1 Célcsoport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2C6DB03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81" w:history="1">
            <w:r w:rsidRPr="00550FCE">
              <w:rPr>
                <w:rStyle w:val="Hiperhivatkozs"/>
              </w:rPr>
              <w:t>I.3.2. Támogatható intézkedés ismertetése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1CCEF31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82" w:history="1">
            <w:r w:rsidRPr="00550FCE">
              <w:rPr>
                <w:rStyle w:val="Hiperhivatkozs"/>
              </w:rPr>
              <w:t>I. 4. A BBA-ra vonatkozó főbb jogszabályok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E00C9E6" w14:textId="77777777" w:rsidR="00E56CD8" w:rsidRDefault="00E56CD8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83" w:history="1">
            <w:r w:rsidRPr="00550FCE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E3EA4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84" w:history="1">
            <w:r w:rsidRPr="00550FCE">
              <w:rPr>
                <w:rStyle w:val="Hiperhivatkozs"/>
              </w:rPr>
              <w:t>II.1. Jogszabályi előírásoknak való megfelelőség vizsgálata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7C6125D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85" w:history="1">
            <w:r w:rsidRPr="00550FCE">
              <w:rPr>
                <w:rStyle w:val="Hiperhivatkozs"/>
              </w:rPr>
              <w:t>II.2. Gazdasági és pénzügyi alkalmasság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4BB4C21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86" w:history="1">
            <w:r w:rsidRPr="00550FCE">
              <w:rPr>
                <w:rStyle w:val="Hiperhivatkozs"/>
              </w:rPr>
              <w:t>II 3. Partner bevonása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0647FBB" w14:textId="77777777" w:rsidR="00E56CD8" w:rsidRDefault="00E56CD8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87" w:history="1">
            <w:r w:rsidRPr="00550FCE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4F895" w14:textId="77777777" w:rsidR="00E56CD8" w:rsidRDefault="00E56CD8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088" w:history="1">
            <w:r w:rsidRPr="00550FCE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14931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89" w:history="1">
            <w:r w:rsidRPr="00550FCE">
              <w:rPr>
                <w:rStyle w:val="Hiperhivatkozs"/>
              </w:rPr>
              <w:t>IV.1. Előlegre vonatkozó szabályok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55A1A734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90" w:history="1">
            <w:r w:rsidRPr="00550FCE">
              <w:rPr>
                <w:rStyle w:val="Hiperhivatkozs"/>
              </w:rPr>
              <w:t>IV.2. Az elszámolhatóság általános feltételei: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5985DE4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091" w:history="1">
            <w:r w:rsidRPr="00550FCE">
              <w:rPr>
                <w:rStyle w:val="Hiperhivatkozs"/>
              </w:rPr>
              <w:t>IV.3. Az elszámolható költségek köre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3156D22A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92" w:history="1">
            <w:r w:rsidRPr="00550FCE">
              <w:rPr>
                <w:rStyle w:val="Hiperhivatkozs"/>
              </w:rPr>
              <w:t>IV.3.1. Projekt előkészítés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6AC96308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93" w:history="1">
            <w:r w:rsidRPr="00550FCE">
              <w:rPr>
                <w:rStyle w:val="Hiperhivatkozs"/>
              </w:rPr>
              <w:t>IV.3.2. Beruházáshoz kapcsolódó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4AE91893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94" w:history="1">
            <w:r w:rsidRPr="00550FCE">
              <w:rPr>
                <w:rStyle w:val="Hiperhivatkozs"/>
              </w:rPr>
              <w:t>IV.3.3. Szakmai megvalósításhoz kapcsolódó szolgáltatások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6B60A42E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95" w:history="1">
            <w:r w:rsidRPr="00550FCE">
              <w:rPr>
                <w:rStyle w:val="Hiperhivatkozs"/>
              </w:rPr>
              <w:t>IV.3.4. Szakmai megvalósításában közreműködők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75875E50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96" w:history="1">
            <w:r w:rsidRPr="00550FCE">
              <w:rPr>
                <w:rStyle w:val="Hiperhivatkozs"/>
              </w:rPr>
              <w:t>IV.3.5</w:t>
            </w:r>
            <w:r w:rsidRPr="00550FCE">
              <w:rPr>
                <w:rStyle w:val="Hiperhivatkozs"/>
                <w:lang w:eastAsia="hu-HU"/>
              </w:rPr>
              <w:t>. Szakmai megvalósításhoz kapcsolódó egyéb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653A0897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97" w:history="1">
            <w:r w:rsidRPr="00550FCE">
              <w:rPr>
                <w:rStyle w:val="Hiperhivatkozs"/>
              </w:rPr>
              <w:t>IV.3.6</w:t>
            </w:r>
            <w:r w:rsidRPr="00550FCE">
              <w:rPr>
                <w:rStyle w:val="Hiperhivatkozs"/>
                <w:lang w:eastAsia="hu-HU"/>
              </w:rPr>
              <w:t>. Célcsoport/egyéb közreműködők támogatásának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7E68677D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98" w:history="1">
            <w:r w:rsidRPr="00550FCE">
              <w:rPr>
                <w:rStyle w:val="Hiperhivatkozs"/>
              </w:rPr>
              <w:t>IV.3.7. Projektmenedzsment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06571010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099" w:history="1">
            <w:r w:rsidRPr="00550FCE">
              <w:rPr>
                <w:rStyle w:val="Hiperhivatkozs"/>
              </w:rPr>
              <w:t>IV.3.8. Közvetett költség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550FEDC8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00" w:history="1">
            <w:r w:rsidRPr="00550FCE">
              <w:rPr>
                <w:rStyle w:val="Hiperhivatkozs"/>
              </w:rPr>
              <w:t>IV.4. A projekt végrehajtás további szabályai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5F2205CB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01" w:history="1">
            <w:r w:rsidRPr="00550FCE">
              <w:rPr>
                <w:rStyle w:val="Hiperhivatkozs"/>
              </w:rPr>
              <w:t>IV.5. Nem elszámolható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37452B6B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02" w:history="1">
            <w:r w:rsidRPr="00550FCE">
              <w:rPr>
                <w:rStyle w:val="Hiperhivatkozs"/>
              </w:rPr>
              <w:t>IV.6. Bevételek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39F6635" w14:textId="77777777" w:rsidR="00E56CD8" w:rsidRDefault="00E56CD8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03" w:history="1">
            <w:r w:rsidRPr="00550FCE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10440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04" w:history="1">
            <w:r w:rsidRPr="00550FCE">
              <w:rPr>
                <w:rStyle w:val="Hiperhivatkozs"/>
              </w:rPr>
              <w:t>V.1 Értékelési szempontrendszer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1EACF4FA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05" w:history="1">
            <w:r w:rsidRPr="00550FCE">
              <w:rPr>
                <w:rStyle w:val="Hiperhivatkozs"/>
              </w:rPr>
              <w:t>V.2 Nem támogatható a pályázat, amennyiben: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6C3ED99C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06" w:history="1">
            <w:r w:rsidRPr="00550FCE">
              <w:rPr>
                <w:rStyle w:val="Hiperhivatkozs"/>
              </w:rPr>
              <w:t>V.3 A szakmai és pénzügyi értékelés során az igényelt támogatási összeg csökkentése kezdeményezhető: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422F17C1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07" w:history="1">
            <w:r w:rsidRPr="00550FCE">
              <w:rPr>
                <w:rStyle w:val="Hiperhivatkozs"/>
              </w:rPr>
              <w:t>V.4. Hiánypótlás, tisztázó kérdés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23AF181D" w14:textId="77777777" w:rsidR="00E56CD8" w:rsidRDefault="00E56CD8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08" w:history="1">
            <w:r w:rsidRPr="00550FCE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CD194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09" w:history="1">
            <w:r w:rsidRPr="00550FCE">
              <w:rPr>
                <w:rStyle w:val="Hiperhivatkozs"/>
              </w:rPr>
              <w:t>VI.1. Ellenőrzési tevékenységek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2B40C15B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10" w:history="1">
            <w:r w:rsidRPr="00550FCE">
              <w:rPr>
                <w:rStyle w:val="Hiperhivatkozs"/>
              </w:rPr>
              <w:t>VI.1.1. A Felelős Hatóság ellenőrző tevékenysége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6E468870" w14:textId="77777777" w:rsidR="00E56CD8" w:rsidRDefault="00E56CD8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111" w:history="1">
            <w:r w:rsidRPr="00550FCE">
              <w:rPr>
                <w:rStyle w:val="Hiperhivatkozs"/>
              </w:rPr>
              <w:t>VI.1.2. Egyéb szervezetek ellenőrző tevékenysége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22ED1C5D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12" w:history="1">
            <w:r w:rsidRPr="00550FCE">
              <w:rPr>
                <w:rStyle w:val="Hiperhivatkozs"/>
              </w:rPr>
              <w:t>VI.2. Adatszolgáltatási kötelezettség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7D65D002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13" w:history="1">
            <w:r w:rsidRPr="00550FCE">
              <w:rPr>
                <w:rStyle w:val="Hiperhivatkozs"/>
              </w:rPr>
              <w:t>VI.3. Láthatóság és disszemináció biztosítása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45E9CDB8" w14:textId="77777777" w:rsidR="00E56CD8" w:rsidRDefault="00E56CD8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14" w:history="1">
            <w:r w:rsidRPr="00550FCE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5E263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15" w:history="1">
            <w:r w:rsidRPr="00550FCE">
              <w:rPr>
                <w:rStyle w:val="Hiperhivatkozs"/>
              </w:rPr>
              <w:t>VII.1 Betekintési jog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6C4AC1EF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16" w:history="1">
            <w:r w:rsidRPr="00550FCE">
              <w:rPr>
                <w:rStyle w:val="Hiperhivatkozs"/>
              </w:rPr>
              <w:t>VII.2. Kifogás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0AFEE317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17" w:history="1">
            <w:r w:rsidRPr="00550FCE">
              <w:rPr>
                <w:rStyle w:val="Hiperhivatkozs"/>
              </w:rPr>
              <w:t>VII.3. A Támogatási Szerződés megkötésének módja, feltételei (biztosítékok)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6F5AA72B" w14:textId="77777777" w:rsidR="00E56CD8" w:rsidRDefault="00E56CD8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118" w:history="1">
            <w:r w:rsidRPr="00550FCE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C1735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19" w:history="1">
            <w:r w:rsidRPr="00550FCE">
              <w:rPr>
                <w:rStyle w:val="Hiperhivatkozs"/>
              </w:rPr>
              <w:t>VIII.1. Támogatási Szerződés minta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14:paraId="47A30606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20" w:history="1">
            <w:r w:rsidRPr="00550FCE">
              <w:rPr>
                <w:rStyle w:val="Hiperhivatkozs"/>
              </w:rPr>
              <w:t>VIII.2. Az Általános Szerződési Feltételek dokumentuma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14:paraId="542AEFBE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21" w:history="1">
            <w:r w:rsidRPr="00550FCE">
              <w:rPr>
                <w:rStyle w:val="Hiperhivatkozs"/>
              </w:rPr>
              <w:t>VIII.3. Választható indikátorok listája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0E3C2484" w14:textId="77777777" w:rsidR="00E56CD8" w:rsidRDefault="00E56CD8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122" w:history="1">
            <w:r w:rsidRPr="00550FCE">
              <w:rPr>
                <w:rStyle w:val="Hiperhivatkozs"/>
              </w:rPr>
              <w:t>VIII.4. Pályázat adattartalma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" w:name="_Toc11685073"/>
      <w:r w:rsidRPr="00526488">
        <w:rPr>
          <w:rFonts w:ascii="Times New Roman" w:hAnsi="Times New Roman"/>
          <w:color w:val="auto"/>
        </w:rPr>
        <w:t xml:space="preserve">I. A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1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074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2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BBA-ra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C(2018)8378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075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3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10D4325A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3B2D85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3B2D85">
        <w:rPr>
          <w:rFonts w:ascii="Times New Roman" w:hAnsi="Times New Roman"/>
          <w:b/>
          <w:bCs/>
          <w:sz w:val="24"/>
          <w:szCs w:val="24"/>
        </w:rPr>
        <w:t>9</w:t>
      </w:r>
      <w:r w:rsidRPr="003B2D8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B2D85" w:rsidRPr="003B2D85">
        <w:rPr>
          <w:rFonts w:ascii="Times New Roman" w:hAnsi="Times New Roman"/>
          <w:b/>
          <w:bCs/>
          <w:sz w:val="24"/>
          <w:szCs w:val="24"/>
        </w:rPr>
        <w:t>november</w:t>
      </w:r>
      <w:r w:rsidR="00BB1148" w:rsidRPr="003B2D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2D85" w:rsidRPr="003B2D85">
        <w:rPr>
          <w:rFonts w:ascii="Times New Roman" w:hAnsi="Times New Roman"/>
          <w:b/>
          <w:bCs/>
          <w:sz w:val="24"/>
          <w:szCs w:val="24"/>
        </w:rPr>
        <w:t>7</w:t>
      </w:r>
      <w:r w:rsidR="00BB1148" w:rsidRPr="003B2D85">
        <w:rPr>
          <w:rFonts w:ascii="Times New Roman" w:hAnsi="Times New Roman"/>
          <w:b/>
          <w:bCs/>
          <w:sz w:val="24"/>
          <w:szCs w:val="24"/>
        </w:rPr>
        <w:t>-én</w:t>
      </w:r>
      <w:r w:rsidRPr="003B2D85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Amennyiben a pályázat, a tervezett tevékenységek, háttérinformációk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számú</w:t>
      </w:r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szkennelve,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Tóth Judit főosztályvezető sk.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379C6CFB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A45E59" w:rsidRPr="003B2D85">
        <w:rPr>
          <w:rFonts w:ascii="Times New Roman" w:hAnsi="Times New Roman"/>
          <w:sz w:val="24"/>
          <w:szCs w:val="24"/>
          <w:lang w:eastAsia="fr-BE"/>
        </w:rPr>
        <w:t>2020. I. félév</w:t>
      </w:r>
      <w:r w:rsidRPr="003B2D85">
        <w:rPr>
          <w:rFonts w:ascii="Times New Roman" w:hAnsi="Times New Roman"/>
          <w:sz w:val="24"/>
          <w:szCs w:val="24"/>
          <w:lang w:eastAsia="fr-BE"/>
        </w:rPr>
        <w:t>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4" w:name="_Toc11685076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4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4E44957" w14:textId="77777777" w:rsidR="00D82510" w:rsidRDefault="00E56CD8" w:rsidP="00D82510">
      <w:hyperlink r:id="rId20" w:history="1">
        <w:r w:rsidR="00D82510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16654971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B426D">
        <w:rPr>
          <w:rFonts w:ascii="Times New Roman" w:hAnsi="Times New Roman"/>
          <w:b/>
          <w:i/>
          <w:sz w:val="24"/>
          <w:szCs w:val="24"/>
        </w:rPr>
        <w:t>október</w:t>
      </w:r>
      <w:r w:rsidR="00423CB5" w:rsidRPr="00DB426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 w:rsidRPr="00DB426D">
        <w:rPr>
          <w:rFonts w:ascii="Times New Roman" w:hAnsi="Times New Roman"/>
          <w:b/>
          <w:i/>
          <w:sz w:val="24"/>
          <w:szCs w:val="24"/>
        </w:rPr>
        <w:t>2</w:t>
      </w:r>
      <w:r w:rsidR="00DB426D" w:rsidRPr="00DB426D">
        <w:rPr>
          <w:rFonts w:ascii="Times New Roman" w:hAnsi="Times New Roman"/>
          <w:b/>
          <w:i/>
          <w:sz w:val="24"/>
          <w:szCs w:val="24"/>
        </w:rPr>
        <w:t>8</w:t>
      </w:r>
      <w:r w:rsidRPr="00DB426D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B426D">
        <w:rPr>
          <w:rFonts w:ascii="Times New Roman" w:hAnsi="Times New Roman"/>
          <w:b/>
          <w:i/>
          <w:sz w:val="24"/>
          <w:szCs w:val="24"/>
        </w:rPr>
        <w:t>október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426D">
        <w:rPr>
          <w:rFonts w:ascii="Times New Roman" w:hAnsi="Times New Roman"/>
          <w:b/>
          <w:i/>
          <w:sz w:val="24"/>
          <w:szCs w:val="24"/>
        </w:rPr>
        <w:t>31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5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6" w:name="_Toc11685077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6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7" w:name="_Toc11685078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7"/>
    </w:p>
    <w:p w14:paraId="23FB3384" w14:textId="4F1B9BC5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652611">
        <w:rPr>
          <w:rFonts w:ascii="Times New Roman" w:hAnsi="Times New Roman"/>
          <w:b/>
          <w:sz w:val="24"/>
          <w:szCs w:val="24"/>
        </w:rPr>
        <w:t>350</w:t>
      </w:r>
      <w:r w:rsidR="008C5D24" w:rsidRPr="008C5D24">
        <w:rPr>
          <w:rFonts w:ascii="Times New Roman" w:hAnsi="Times New Roman"/>
          <w:b/>
          <w:sz w:val="24"/>
          <w:szCs w:val="24"/>
        </w:rPr>
        <w:t> 000 000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r w:rsidRPr="00573809">
        <w:rPr>
          <w:rFonts w:ascii="Times New Roman" w:hAnsi="Times New Roman"/>
          <w:sz w:val="24"/>
          <w:szCs w:val="24"/>
        </w:rPr>
        <w:t>a</w:t>
      </w:r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E56CD8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6E01880C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C1446F">
        <w:rPr>
          <w:rFonts w:ascii="Times New Roman" w:hAnsi="Times New Roman"/>
          <w:sz w:val="24"/>
          <w:szCs w:val="24"/>
        </w:rPr>
        <w:t>január</w:t>
      </w:r>
      <w:r w:rsidRPr="00861870">
        <w:rPr>
          <w:rFonts w:ascii="Times New Roman" w:hAnsi="Times New Roman"/>
          <w:sz w:val="24"/>
          <w:szCs w:val="24"/>
        </w:rPr>
        <w:t xml:space="preserve"> 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7133B90B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Projektenként igényelhető minimum támogatási összeg:</w:t>
      </w:r>
      <w:r w:rsidR="008C5D24">
        <w:rPr>
          <w:rFonts w:ascii="Times New Roman" w:hAnsi="Times New Roman"/>
          <w:sz w:val="24"/>
          <w:szCs w:val="24"/>
        </w:rPr>
        <w:t xml:space="preserve"> </w:t>
      </w:r>
      <w:r w:rsidR="008C5D24" w:rsidRPr="008C5D24">
        <w:rPr>
          <w:rFonts w:ascii="Times New Roman" w:hAnsi="Times New Roman"/>
          <w:b/>
          <w:sz w:val="24"/>
          <w:szCs w:val="24"/>
        </w:rPr>
        <w:t>1</w:t>
      </w:r>
      <w:r w:rsidR="00652611">
        <w:rPr>
          <w:rFonts w:ascii="Times New Roman" w:hAnsi="Times New Roman"/>
          <w:b/>
          <w:sz w:val="24"/>
          <w:szCs w:val="24"/>
        </w:rPr>
        <w:t>0</w:t>
      </w:r>
      <w:r w:rsidR="008C5D24" w:rsidRPr="008C5D24">
        <w:rPr>
          <w:rFonts w:ascii="Times New Roman" w:hAnsi="Times New Roman"/>
          <w:b/>
          <w:sz w:val="24"/>
          <w:szCs w:val="24"/>
        </w:rPr>
        <w:t>0 000 000</w:t>
      </w:r>
      <w:r w:rsidR="008C5D24">
        <w:rPr>
          <w:rFonts w:ascii="Times New Roman" w:hAnsi="Times New Roman"/>
          <w:sz w:val="24"/>
          <w:szCs w:val="24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</w:rPr>
        <w:t>HUF</w:t>
      </w:r>
    </w:p>
    <w:p w14:paraId="659158EF" w14:textId="31D20101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652611">
        <w:rPr>
          <w:rFonts w:ascii="Times New Roman" w:hAnsi="Times New Roman"/>
          <w:b/>
          <w:sz w:val="24"/>
          <w:szCs w:val="24"/>
          <w:lang w:eastAsia="fr-BE"/>
        </w:rPr>
        <w:t>350</w:t>
      </w:r>
      <w:r w:rsidR="008C5D24" w:rsidRPr="008C5D24">
        <w:rPr>
          <w:rFonts w:ascii="Times New Roman" w:hAnsi="Times New Roman"/>
          <w:b/>
          <w:sz w:val="24"/>
          <w:szCs w:val="24"/>
          <w:lang w:eastAsia="fr-BE"/>
        </w:rPr>
        <w:t> 000</w:t>
      </w:r>
      <w:r w:rsidR="008C5D24">
        <w:rPr>
          <w:rFonts w:ascii="Times New Roman" w:hAnsi="Times New Roman"/>
          <w:b/>
          <w:sz w:val="24"/>
          <w:szCs w:val="24"/>
          <w:lang w:eastAsia="fr-BE"/>
        </w:rPr>
        <w:t> </w:t>
      </w:r>
      <w:r w:rsidR="008C5D24" w:rsidRPr="008C5D24">
        <w:rPr>
          <w:rFonts w:ascii="Times New Roman" w:hAnsi="Times New Roman"/>
          <w:b/>
          <w:sz w:val="24"/>
          <w:szCs w:val="24"/>
          <w:lang w:eastAsia="fr-BE"/>
        </w:rPr>
        <w:t>000</w:t>
      </w:r>
      <w:r w:rsidR="008C5D24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8" w:name="_Toc11685079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8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9" w:name="_Toc11685080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9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1" w:name="_Toc11685081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1"/>
    </w:p>
    <w:bookmarkEnd w:id="10"/>
    <w:p w14:paraId="0C18AC34" w14:textId="77777777" w:rsidR="00B1791D" w:rsidRPr="00B1791D" w:rsidRDefault="00B1791D" w:rsidP="00B1791D">
      <w:pPr>
        <w:pStyle w:val="CM4"/>
        <w:jc w:val="both"/>
        <w:rPr>
          <w:rFonts w:ascii="Times New Roman" w:hAnsi="Times New Roman"/>
          <w:u w:val="single"/>
        </w:rPr>
      </w:pPr>
      <w:r w:rsidRPr="00B1791D">
        <w:rPr>
          <w:rFonts w:ascii="Times New Roman" w:hAnsi="Times New Roman"/>
          <w:u w:val="single"/>
        </w:rPr>
        <w:t>Az intézkedés célja:</w:t>
      </w:r>
      <w:r w:rsidRPr="00B1791D">
        <w:rPr>
          <w:rFonts w:ascii="Times New Roman" w:hAnsi="Times New Roman"/>
        </w:rPr>
        <w:t xml:space="preserve"> a határellenőrzésben résztvevő szervezetek és intézmények közötti, az</w:t>
      </w:r>
      <w:r w:rsidRPr="00B1791D">
        <w:rPr>
          <w:rFonts w:ascii="Times New Roman" w:hAnsi="Times New Roman"/>
          <w:bCs/>
          <w:color w:val="000000"/>
          <w:lang w:eastAsia="hu-HU"/>
        </w:rPr>
        <w:t xml:space="preserve"> úti okmányokra, hamis és hamisított úti okmányokra vonatkozó </w:t>
      </w:r>
      <w:r w:rsidRPr="00B1791D">
        <w:rPr>
          <w:rFonts w:ascii="Times New Roman" w:hAnsi="Times New Roman"/>
        </w:rPr>
        <w:t>információcsere továbbfejleszt</w:t>
      </w:r>
      <w:r w:rsidRPr="00B1791D">
        <w:rPr>
          <w:rFonts w:ascii="Times New Roman" w:hAnsi="Times New Roman"/>
        </w:rPr>
        <w:t>é</w:t>
      </w:r>
      <w:r w:rsidRPr="00B1791D">
        <w:rPr>
          <w:rFonts w:ascii="Times New Roman" w:hAnsi="Times New Roman"/>
        </w:rPr>
        <w:t>se.</w:t>
      </w:r>
    </w:p>
    <w:p w14:paraId="2992FE90" w14:textId="77777777" w:rsidR="00B1791D" w:rsidRPr="00B1791D" w:rsidRDefault="00B1791D" w:rsidP="00B1791D">
      <w:pPr>
        <w:pStyle w:val="Default"/>
        <w:ind w:left="360"/>
      </w:pPr>
    </w:p>
    <w:p w14:paraId="073CB295" w14:textId="77777777" w:rsidR="00B1791D" w:rsidRPr="00B1791D" w:rsidRDefault="00B1791D" w:rsidP="00B1791D">
      <w:pPr>
        <w:pStyle w:val="CM4"/>
        <w:ind w:firstLine="360"/>
        <w:jc w:val="both"/>
        <w:rPr>
          <w:rFonts w:ascii="Times New Roman" w:hAnsi="Times New Roman"/>
          <w:u w:val="single"/>
        </w:rPr>
      </w:pPr>
      <w:r w:rsidRPr="00B1791D">
        <w:rPr>
          <w:rFonts w:ascii="Times New Roman" w:hAnsi="Times New Roman"/>
          <w:u w:val="single"/>
        </w:rPr>
        <w:t>E célok elérése érdekében különösen az alábbi tevékenységek megvalósítása támogatható:</w:t>
      </w:r>
    </w:p>
    <w:p w14:paraId="3E9BB08E" w14:textId="77777777" w:rsidR="00B1791D" w:rsidRPr="00B1791D" w:rsidRDefault="00B1791D" w:rsidP="00B1791D">
      <w:pPr>
        <w:pStyle w:val="Default"/>
      </w:pPr>
    </w:p>
    <w:p w14:paraId="75D11ACA" w14:textId="77777777" w:rsidR="00B1791D" w:rsidRPr="00B1791D" w:rsidRDefault="00B1791D" w:rsidP="00B1791D">
      <w:pPr>
        <w:pStyle w:val="Text1"/>
        <w:numPr>
          <w:ilvl w:val="0"/>
          <w:numId w:val="60"/>
        </w:numPr>
        <w:spacing w:before="0" w:after="0"/>
        <w:rPr>
          <w:lang w:val="hu-HU" w:eastAsia="fr-BE"/>
        </w:rPr>
      </w:pPr>
      <w:r w:rsidRPr="00B1791D">
        <w:rPr>
          <w:bCs/>
          <w:color w:val="000000"/>
          <w:lang w:val="hu-HU" w:eastAsia="hu-HU"/>
        </w:rPr>
        <w:t xml:space="preserve">az úti okmányokra, hamis és hamisított úti okmányokra vonatkozó </w:t>
      </w:r>
      <w:r w:rsidRPr="00B1791D">
        <w:rPr>
          <w:lang w:val="hu-HU"/>
        </w:rPr>
        <w:t xml:space="preserve">információcserét támogató alkalmazás továbbfejlesztése érdekében hardver, </w:t>
      </w:r>
      <w:r w:rsidRPr="00B1791D">
        <w:rPr>
          <w:noProof/>
          <w:lang w:val="hu-HU" w:eastAsia="hu-HU"/>
        </w:rPr>
        <w:t>szoftver beszerzés, fejlesztés és kapcsolódó szolgáltatások (pl. megvalósíthatósági tanulmány, tervek elkészítése),</w:t>
      </w:r>
    </w:p>
    <w:p w14:paraId="71FDA41A" w14:textId="77777777" w:rsidR="00B1791D" w:rsidRPr="00B1791D" w:rsidRDefault="00B1791D" w:rsidP="00B1791D">
      <w:pPr>
        <w:pStyle w:val="Listaszerbekezds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B1791D">
        <w:rPr>
          <w:rFonts w:ascii="Times New Roman" w:hAnsi="Times New Roman"/>
          <w:sz w:val="24"/>
          <w:szCs w:val="24"/>
        </w:rPr>
        <w:t>okmány-hamisítások felfedését, dokumentálását támogató informatikai, technikai es</w:t>
      </w:r>
      <w:r w:rsidRPr="00B1791D">
        <w:rPr>
          <w:rFonts w:ascii="Times New Roman" w:hAnsi="Times New Roman"/>
          <w:sz w:val="24"/>
          <w:szCs w:val="24"/>
        </w:rPr>
        <w:t>z</w:t>
      </w:r>
      <w:r w:rsidRPr="00B1791D">
        <w:rPr>
          <w:rFonts w:ascii="Times New Roman" w:hAnsi="Times New Roman"/>
          <w:sz w:val="24"/>
          <w:szCs w:val="24"/>
        </w:rPr>
        <w:t>közök beszerzése a meglévő kapacitások továbbfejlesztésére.</w:t>
      </w:r>
    </w:p>
    <w:p w14:paraId="2A8D68DE" w14:textId="77777777" w:rsidR="00B1791D" w:rsidRPr="00B1791D" w:rsidRDefault="00B1791D" w:rsidP="00B1791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fr-BE"/>
        </w:rPr>
      </w:pPr>
    </w:p>
    <w:p w14:paraId="0DFCC406" w14:textId="77777777" w:rsidR="00B1791D" w:rsidRPr="00B1791D" w:rsidRDefault="00B1791D" w:rsidP="00B1791D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B1791D">
        <w:rPr>
          <w:rFonts w:ascii="Times New Roman" w:hAnsi="Times New Roman"/>
          <w:sz w:val="24"/>
          <w:szCs w:val="24"/>
          <w:lang w:eastAsia="fr-BE"/>
        </w:rPr>
        <w:t>Osztott finanszírozással támogathatók azon fejlesztések, amelyek túlmutatnak az 515/2014/EU európai parlamenti és tanácsi rendelet 4. cikkében meghatározott célkitűz</w:t>
      </w:r>
      <w:r w:rsidRPr="00B1791D">
        <w:rPr>
          <w:rFonts w:ascii="Times New Roman" w:hAnsi="Times New Roman"/>
          <w:sz w:val="24"/>
          <w:szCs w:val="24"/>
          <w:lang w:eastAsia="fr-BE"/>
        </w:rPr>
        <w:t>é</w:t>
      </w:r>
      <w:r w:rsidRPr="00B1791D">
        <w:rPr>
          <w:rFonts w:ascii="Times New Roman" w:hAnsi="Times New Roman"/>
          <w:sz w:val="24"/>
          <w:szCs w:val="24"/>
          <w:lang w:eastAsia="fr-BE"/>
        </w:rPr>
        <w:t xml:space="preserve">seken (a határellenőrzéshez vagy </w:t>
      </w:r>
      <w:r w:rsidRPr="00B1791D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harmadik országokban végzett vízumkiállításhoz </w:t>
      </w:r>
      <w:r w:rsidRPr="00B1791D">
        <w:rPr>
          <w:rFonts w:ascii="Times New Roman" w:hAnsi="Times New Roman"/>
          <w:sz w:val="24"/>
          <w:szCs w:val="24"/>
          <w:lang w:eastAsia="fr-BE"/>
        </w:rPr>
        <w:t>ka</w:t>
      </w:r>
      <w:r w:rsidRPr="00B1791D">
        <w:rPr>
          <w:rFonts w:ascii="Times New Roman" w:hAnsi="Times New Roman"/>
          <w:sz w:val="24"/>
          <w:szCs w:val="24"/>
          <w:lang w:eastAsia="fr-BE"/>
        </w:rPr>
        <w:t>p</w:t>
      </w:r>
      <w:r w:rsidRPr="00B1791D">
        <w:rPr>
          <w:rFonts w:ascii="Times New Roman" w:hAnsi="Times New Roman"/>
          <w:sz w:val="24"/>
          <w:szCs w:val="24"/>
          <w:lang w:eastAsia="fr-BE"/>
        </w:rPr>
        <w:t xml:space="preserve">csolódva az </w:t>
      </w:r>
      <w:r w:rsidRPr="00B1791D">
        <w:rPr>
          <w:rFonts w:ascii="Times New Roman" w:hAnsi="Times New Roman"/>
          <w:bCs/>
          <w:color w:val="000000"/>
          <w:sz w:val="24"/>
          <w:szCs w:val="24"/>
          <w:lang w:eastAsia="hu-HU"/>
        </w:rPr>
        <w:t>úti okmányokhoz, hamis és hamisított úti okmányokhoz, kapcsolódó adatcs</w:t>
      </w:r>
      <w:r w:rsidRPr="00B1791D">
        <w:rPr>
          <w:rFonts w:ascii="Times New Roman" w:hAnsi="Times New Roman"/>
          <w:bCs/>
          <w:color w:val="000000"/>
          <w:sz w:val="24"/>
          <w:szCs w:val="24"/>
          <w:lang w:eastAsia="hu-HU"/>
        </w:rPr>
        <w:t>e</w:t>
      </w:r>
      <w:r w:rsidRPr="00B1791D">
        <w:rPr>
          <w:rFonts w:ascii="Times New Roman" w:hAnsi="Times New Roman"/>
          <w:bCs/>
          <w:color w:val="000000"/>
          <w:sz w:val="24"/>
          <w:szCs w:val="24"/>
          <w:lang w:eastAsia="hu-HU"/>
        </w:rPr>
        <w:t>re biztosítása).</w:t>
      </w:r>
    </w:p>
    <w:p w14:paraId="386AB095" w14:textId="7F3CC4FC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3003F5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4D5AFA20" w:rsidR="003003F5" w:rsidRPr="00B91284" w:rsidRDefault="00B1791D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1791D">
              <w:rPr>
                <w:rFonts w:ascii="Times New Roman" w:hAnsi="Times New Roman"/>
                <w:sz w:val="24"/>
                <w:szCs w:val="24"/>
                <w:lang w:eastAsia="hu-HU"/>
              </w:rPr>
              <w:t>Kialakított vagy korszerűsített egyéb határellenőrzési rendszerek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2CF8AA20" w:rsidR="003003F5" w:rsidRPr="003003F5" w:rsidRDefault="00B1791D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5AA34DEA" w:rsidR="003003F5" w:rsidRPr="003003F5" w:rsidRDefault="003E4A9F" w:rsidP="00B179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1</w:t>
            </w:r>
          </w:p>
        </w:tc>
      </w:tr>
      <w:tr w:rsidR="00B1791D" w:rsidRPr="003003F5" w14:paraId="6E24F008" w14:textId="77777777" w:rsidTr="00184B8E">
        <w:tc>
          <w:tcPr>
            <w:tcW w:w="5791" w:type="dxa"/>
            <w:shd w:val="clear" w:color="auto" w:fill="auto"/>
          </w:tcPr>
          <w:p w14:paraId="29A5C803" w14:textId="5A37F9E6" w:rsidR="00B1791D" w:rsidRPr="003E4A9F" w:rsidRDefault="00B1791D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1791D">
              <w:rPr>
                <w:rFonts w:ascii="Times New Roman" w:hAnsi="Times New Roman"/>
                <w:sz w:val="24"/>
                <w:szCs w:val="24"/>
                <w:lang w:eastAsia="hu-HU"/>
              </w:rPr>
              <w:t>Beszerzett vagy korszerűsített eszközök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7F6E9C3" w14:textId="307AE26B" w:rsidR="00B1791D" w:rsidRDefault="00B1791D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672D367" w14:textId="754CF1FE" w:rsidR="00B1791D" w:rsidRDefault="00B1791D" w:rsidP="00B179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23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6258C4C1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 célértéke kumulált érték,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2" w:name="_Toc11685082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 vonatkozó főbb jogszabályok</w:t>
      </w:r>
      <w:bookmarkEnd w:id="12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lastRenderedPageBreak/>
        <w:t>nek megtagadására vonatkozó adatok rögzítésére szolgáló határregisztrációs rendszer (EES) létrehozásáról és az EES-hez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COM(2015)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értelmében a nemzeti programok mintájának meghatározásáról, valamint a Bizottság és a tagállamok közötti elektronikus adatcsererendszer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>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az 514/2014/EU európai parlamenti és tanácsi rendeletnek az éves záróelszámolás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>az Európai Határregisztrációs Rendszer, valamint az Európai Utasinformációs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törvény végrehajtásáról szóló 368/2011. (XII. 31.) Korm. rendelet (a továbbiakban: Ávr.)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lastRenderedPageBreak/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közbeszerzési értékhatárok alatti értékű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>cseréről, továbbá egyes rendészeti tárgyú törvények ezzel, valamint a Magyary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3" w:name="_Toc11685083"/>
      <w:r w:rsidRPr="004A2887">
        <w:rPr>
          <w:rFonts w:ascii="Times New Roman" w:hAnsi="Times New Roman"/>
          <w:color w:val="auto"/>
        </w:rPr>
        <w:t xml:space="preserve">II. </w:t>
      </w:r>
      <w:r w:rsidRPr="00233333">
        <w:rPr>
          <w:rFonts w:ascii="Times New Roman" w:hAnsi="Times New Roman"/>
          <w:color w:val="auto"/>
        </w:rPr>
        <w:t xml:space="preserve">A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3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084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4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1BB0253C" w14:textId="77777777" w:rsidR="00054B94" w:rsidRPr="00054B94" w:rsidRDefault="00054B94" w:rsidP="00054B94">
      <w:pPr>
        <w:suppressAutoHyphens/>
        <w:spacing w:beforeLines="60" w:before="144" w:afterLines="60" w:after="144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054B94">
        <w:rPr>
          <w:rFonts w:ascii="Times New Roman" w:hAnsi="Times New Roman"/>
          <w:sz w:val="24"/>
          <w:szCs w:val="24"/>
        </w:rPr>
        <w:t>a) Költségvetési szerv és intézménye, amely</w:t>
      </w:r>
    </w:p>
    <w:p w14:paraId="0B7087DB" w14:textId="261EA99A" w:rsidR="00054B94" w:rsidRDefault="00054B94" w:rsidP="00054B94">
      <w:pPr>
        <w:suppressAutoHyphens/>
        <w:spacing w:beforeLines="60" w:before="144" w:afterLines="60" w:after="144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54B94">
        <w:rPr>
          <w:rFonts w:ascii="Times New Roman" w:hAnsi="Times New Roman"/>
          <w:sz w:val="24"/>
          <w:szCs w:val="24"/>
        </w:rPr>
        <w:t xml:space="preserve">̶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B94">
        <w:rPr>
          <w:rFonts w:ascii="Times New Roman" w:hAnsi="Times New Roman"/>
          <w:sz w:val="24"/>
          <w:szCs w:val="24"/>
        </w:rPr>
        <w:t>határigazgatás területén lát el feladatokat</w:t>
      </w:r>
      <w:r>
        <w:rPr>
          <w:rFonts w:ascii="Times New Roman" w:hAnsi="Times New Roman"/>
          <w:sz w:val="24"/>
          <w:szCs w:val="24"/>
        </w:rPr>
        <w:t>.</w:t>
      </w:r>
    </w:p>
    <w:p w14:paraId="73014292" w14:textId="771891FB" w:rsidR="0032087D" w:rsidRDefault="0032087D" w:rsidP="00054B94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 xml:space="preserve">i, hogy az azokban foglalt feltételeknek és </w:t>
      </w:r>
      <w:r w:rsidRPr="00BA439D">
        <w:rPr>
          <w:rFonts w:ascii="Times New Roman" w:hAnsi="Times New Roman"/>
          <w:sz w:val="24"/>
          <w:szCs w:val="24"/>
        </w:rPr>
        <w:lastRenderedPageBreak/>
        <w:t>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>ik, hogy nincs jelenleg folyamatban lévő projektje ugyanazon tevékenység(ek)re, amely(ek)re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</w:t>
      </w:r>
      <w:r>
        <w:rPr>
          <w:rFonts w:ascii="Times New Roman" w:hAnsi="Times New Roman"/>
          <w:sz w:val="24"/>
          <w:szCs w:val="24"/>
        </w:rPr>
        <w:lastRenderedPageBreak/>
        <w:t xml:space="preserve">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az Áht.-ban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r w:rsidRPr="00980DEC">
        <w:rPr>
          <w:rFonts w:ascii="Times New Roman" w:hAnsi="Times New Roman"/>
          <w:sz w:val="24"/>
          <w:szCs w:val="24"/>
        </w:rPr>
        <w:t>Ávr.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Ávr-ben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Ávr.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>„N Y I L A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>az államháztartásról szóló törvény végrehajtásáról szóló 368/2011. (XII. 31.) Korm. rendelet (Ávr.)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Alulírott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(a továbbiakban: támogatást igénylő) képviseletében eljárni jogosult személy a(z) _______________________________ című, a támogatási kérelemben rögzített Projekt kapcsán – tekintettel az Ávr.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nem nyújtott be támogatási 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>alábbi időpont(ok)ban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Kelt.:…………………………………</w:t>
      </w:r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cégszerű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Ávr.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>„N Y I L A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>az államháztartásról szóló törvény végrehajtásáról szóló 368/2011. (XII. 31.) Korm. rendelet (Ávr.)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Alulírott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(a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>rojekt kapcsán – tekintettel az Ávr.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végzi.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létesítmény üzemeltetésével összefüggésben a fenntartási időszak alatt várhatóan az alábbi típusú üzemeltetési költségek fognak 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típusa: ………………………..;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típusa: ………………………..;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típusa: ………………………..;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típusa: 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Kelt.:…………………………………</w:t>
      </w:r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cégszerű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085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5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Áht.-ban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>jéről szóló 2003. évi XCII. törvény értelmében (a továbbikaban: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köztulajdonban álló gazdasági társaság esetén, ha az Áht.-ban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086"/>
      <w:r w:rsidRPr="007E0B82">
        <w:rPr>
          <w:rFonts w:ascii="Times New Roman" w:hAnsi="Times New Roman"/>
          <w:color w:val="auto"/>
        </w:rPr>
        <w:t>II 3. Partner bevonása</w:t>
      </w:r>
      <w:bookmarkEnd w:id="16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és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>támogatást igénylő és konzorciumi partnerszervezet(ek)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- a támogatást igénylő és együttműködő partnerszervezet(ek)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>és együttműködő part</w:t>
      </w:r>
      <w:r w:rsidRPr="000C1E5F">
        <w:rPr>
          <w:rFonts w:ascii="Times New Roman" w:hAnsi="Times New Roman"/>
          <w:sz w:val="24"/>
          <w:szCs w:val="24"/>
        </w:rPr>
        <w:t>nerszervezet(ek)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087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7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088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8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089"/>
      <w:r w:rsidRPr="000A315E">
        <w:rPr>
          <w:rFonts w:ascii="Times New Roman" w:hAnsi="Times New Roman"/>
          <w:color w:val="auto"/>
        </w:rPr>
        <w:t>IV.1. Előlegre vonatkozó szabályok</w:t>
      </w:r>
      <w:bookmarkEnd w:id="19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előfinaszírozással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090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20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§-a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projekt jóváhagyásának időpontjában figyelembe nem vett, a projekt végrehajtása során közvetlenül keletkezett nettó jövedelm</w:t>
      </w:r>
      <w:r>
        <w:rPr>
          <w:rFonts w:ascii="Times New Roman" w:hAnsi="Times New Roman"/>
          <w:sz w:val="24"/>
          <w:szCs w:val="24"/>
        </w:rPr>
        <w:t>mel</w:t>
      </w:r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02B15FC4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CB454E">
        <w:rPr>
          <w:rFonts w:ascii="Times New Roman" w:hAnsi="Times New Roman"/>
          <w:b/>
          <w:sz w:val="24"/>
          <w:szCs w:val="24"/>
        </w:rPr>
        <w:t>útmutató</w:t>
      </w:r>
      <w:r w:rsidRPr="00776BB5">
        <w:rPr>
          <w:rFonts w:ascii="Times New Roman" w:hAnsi="Times New Roman"/>
          <w:b/>
          <w:sz w:val="24"/>
          <w:szCs w:val="24"/>
        </w:rPr>
        <w:t xml:space="preserve"> 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29C702C8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CB454E">
        <w:rPr>
          <w:rFonts w:ascii="Times New Roman" w:hAnsi="Times New Roman"/>
          <w:sz w:val="24"/>
          <w:szCs w:val="24"/>
        </w:rPr>
        <w:t>Útmutató</w:t>
      </w:r>
      <w:r w:rsidRPr="00D40A9F">
        <w:rPr>
          <w:rFonts w:ascii="Times New Roman" w:hAnsi="Times New Roman"/>
          <w:sz w:val="24"/>
          <w:szCs w:val="24"/>
        </w:rPr>
        <w:t xml:space="preserve"> 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5034503A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CB454E">
        <w:rPr>
          <w:rFonts w:ascii="Times New Roman" w:hAnsi="Times New Roman"/>
          <w:sz w:val="24"/>
          <w:szCs w:val="24"/>
        </w:rPr>
        <w:t>Útmutató</w:t>
      </w:r>
      <w:r w:rsidR="00CB454E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>mum összeggel limitált költségtételek (pl. szállás, catering,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r>
        <w:rPr>
          <w:rFonts w:ascii="Times New Roman" w:hAnsi="Times New Roman"/>
          <w:sz w:val="24"/>
          <w:szCs w:val="24"/>
        </w:rPr>
        <w:t>alátámsztásában</w:t>
      </w:r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költségsorok):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3B0F4571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CB454E">
        <w:rPr>
          <w:rFonts w:ascii="Times New Roman" w:hAnsi="Times New Roman"/>
          <w:sz w:val="24"/>
          <w:szCs w:val="24"/>
        </w:rPr>
        <w:t>Útmutató</w:t>
      </w:r>
      <w:r w:rsidR="00CB454E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>tás vezetése ezen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1" w:name="_Toc11685091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1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VIII.5.A.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VIII.5.B.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 xml:space="preserve">megfelelő indoklással vannak alátámasztva, </w:t>
      </w:r>
      <w:r w:rsidRPr="00096299">
        <w:rPr>
          <w:rFonts w:ascii="Times New Roman" w:hAnsi="Times New Roman"/>
          <w:sz w:val="24"/>
          <w:szCs w:val="24"/>
        </w:rPr>
        <w:t xml:space="preserve"> és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1AFD655E" w14:textId="06268D36" w:rsidR="007E7F92" w:rsidRPr="000F779B" w:rsidRDefault="007E7F92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EPTK-ban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EPTK-ban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ÁFA-val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092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2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3" w:name="_Toc11685093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3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§-</w:t>
      </w:r>
      <w:r w:rsidRPr="00CF0210">
        <w:rPr>
          <w:rFonts w:ascii="Times New Roman" w:hAnsi="Times New Roman"/>
          <w:sz w:val="24"/>
          <w:szCs w:val="24"/>
          <w:lang w:eastAsia="hu-HU"/>
        </w:rPr>
        <w:t>a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>akban: Áhsz.) 15. és 16. §-a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7604C">
        <w:rPr>
          <w:rFonts w:ascii="Times New Roman" w:hAnsi="Times New Roman"/>
          <w:sz w:val="24"/>
          <w:szCs w:val="24"/>
          <w:lang w:eastAsia="hu-HU"/>
        </w:rPr>
        <w:t xml:space="preserve">pontjában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>beszerzés esetén előnyben kell részesíteni a nyílt forráskodú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>si költségek elszámolhatóak, ha az akadálymentesítés végrehajtása nélkül az épület nem lenne alkalmas a feladat ellátására. Az akadálymentesítés szükségességét és az  átalakítási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39DAB91A" w:rsidR="0032087D" w:rsidRPr="00D9380C" w:rsidRDefault="00674925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központosított közbeszerzésre vonatkozó szabály, illetve központosított közbeszerzés eredményeként megkötött keretmegállapodásban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eltérő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(köz)beszerzési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094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4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Honlap kialakításához kapcsolódó domain</w:t>
      </w:r>
      <w:r w:rsidRPr="00D9380C">
        <w:rPr>
          <w:rFonts w:ascii="Times New Roman" w:hAnsi="Times New Roman"/>
          <w:sz w:val="24"/>
          <w:szCs w:val="24"/>
        </w:rPr>
        <w:t>-név regisztráció és webtárhely</w:t>
      </w:r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 projekt keretében végrehajtott tananyag fejlesztéshez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>kiírás VI.3. pontjában</w:t>
      </w:r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technikai költségek (hangosítás, számítógép-bérlés, Internet-csatlakozás stb. )</w:t>
      </w:r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5" w:name="_Toc11685095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5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r w:rsidRPr="00BB04BA">
        <w:rPr>
          <w:rFonts w:ascii="Times New Roman" w:hAnsi="Times New Roman"/>
          <w:sz w:val="24"/>
          <w:szCs w:val="24"/>
        </w:rPr>
        <w:lastRenderedPageBreak/>
        <w:t>cafeteria,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>, valamint a munkaidőnyilvántartás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(köz)beszerzési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>. Ha a megbízott számlaképes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Szintén ebbe a kategóriába tartozik a projekt végrehajtásában közreműködő azon személyek bére, akik számára a projekt keretében nem kerül munkabér elszámolásra, hanem a munka elvégzése célfeladatok kiírásával vagy túlszolgálat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>, teljesítmény ösztönzésre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096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6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7" w:name="_Toc11685097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7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098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8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bCs/>
          <w:sz w:val="24"/>
          <w:szCs w:val="24"/>
        </w:rPr>
        <w:t>a)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9" w:name="_Toc11685099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9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>közüzemi díjak és szolgáltatások (pl. víz, gáz, elektromos áram, távhő,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kisértékű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100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30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>nek a kedvezményezett kapcsolt vállalkozása által, vagy nem gazdasági társaság kedvezményezett esetén a részben vagy egészben tulajdonában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önköltségszámítási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>van az 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101"/>
      <w:r w:rsidRPr="00794F6F">
        <w:rPr>
          <w:rFonts w:ascii="Times New Roman" w:hAnsi="Times New Roman"/>
          <w:color w:val="auto"/>
        </w:rPr>
        <w:t>IV.5. Nem elszámolható költségek</w:t>
      </w:r>
      <w:bookmarkEnd w:id="31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olyan alvállalkozásba adott tevékenységek, amelyek anélkül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az eszközbeszerzésekhez kapcsolódó, a projektmegvalósítás határidejét követően felmerült support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>a projektmegvalósítási időszakot meghaladó garanciális időszak esetében, a jólteljesítési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2" w:name="_Toc11685102"/>
      <w:r w:rsidRPr="00144B03">
        <w:rPr>
          <w:rFonts w:ascii="Times New Roman" w:hAnsi="Times New Roman"/>
          <w:color w:val="auto"/>
        </w:rPr>
        <w:t>IV.6. Bevételek</w:t>
      </w:r>
      <w:bookmarkEnd w:id="32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3" w:name="_Toc11685103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>. A támogatási kérelmek elbírálásának folyamata</w:t>
      </w:r>
      <w:bookmarkEnd w:id="33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támogatási kérelmeket a kijelölt személyek az V.1. pontban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D0265">
        <w:rPr>
          <w:rFonts w:ascii="Times New Roman" w:hAnsi="Times New Roman"/>
          <w:sz w:val="24"/>
          <w:szCs w:val="24"/>
        </w:rPr>
        <w:t xml:space="preserve">Összpontszám: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4" w:name="_Toc11685104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4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hiánypótolható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 xml:space="preserve">(megfelelt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Hiánypótolható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(megfelelt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megegyezik az elektronikus rendszerben benyújtott nyilatkozat 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 székhelye Mo-on, illetőleg az EU valamely tagállamában van, továbbá a székhelyre tekintet nélkül kormányközi megállapodással létrehozott nemzetközi közjogi szervezet, vagy az ilyen szervezet(ek)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>Összhangban van-e a Gantt diagrammban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Miyen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Megfelelőek-e  a projekt tervezett disszeminációs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>Az értékelési folyamat során, az ÉB ülést megelőzően nem ismert támo-gathatóságot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5" w:name="_Toc11685105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5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>ovábbra sem állapítható meg a jogosultsági szempont(ok)nak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6" w:name="_Toc11685106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>V.3 A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6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7" w:name="_Toc11685107"/>
      <w:r w:rsidRPr="0061151C">
        <w:rPr>
          <w:rFonts w:ascii="Times New Roman" w:hAnsi="Times New Roman"/>
          <w:color w:val="auto"/>
        </w:rPr>
        <w:t>V.4. Hiánypótlás, tisztázó kérdés</w:t>
      </w:r>
      <w:bookmarkEnd w:id="37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Ha a támogatási kérelem nem felel meg maradéktalanul a hiánypótoltatható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szempont(ok)nak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>a támogatást igénylő kapcsolattartóját, projektben résztvevő személyeket személyes konzultációra hívhatja, amelyről emlékeztető készül (kizárólag korlátozott és közvetlen kijelölésű projektkiválasztási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8" w:name="_Toc11685108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8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9" w:name="_Toc11685109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9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0" w:name="_Toc11685110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40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PEJ-ek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>ahhoz szükséges, hogy az FH a TSz-módosítási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ellenőrzés.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03ABC00C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CB454E">
        <w:rPr>
          <w:rFonts w:ascii="Times New Roman" w:hAnsi="Times New Roman"/>
          <w:sz w:val="24"/>
          <w:szCs w:val="24"/>
        </w:rPr>
        <w:t>Útmutató</w:t>
      </w:r>
      <w:r>
        <w:rPr>
          <w:rFonts w:ascii="Times New Roman" w:hAnsi="Times New Roman"/>
          <w:sz w:val="24"/>
          <w:szCs w:val="24"/>
        </w:rPr>
        <w:t xml:space="preserve"> 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Vbt.)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mentesítési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E56CD8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Vbt. szerinti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111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112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113"/>
      <w:r w:rsidRPr="00AD097F">
        <w:rPr>
          <w:rFonts w:ascii="Times New Roman" w:hAnsi="Times New Roman"/>
          <w:color w:val="auto"/>
        </w:rPr>
        <w:t>VI.3. Láthatóság és disszemináció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114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115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116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vr.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A. u.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Felelős Hatóság a kifogást az Ávr.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eljárás </w:t>
      </w:r>
      <w:r>
        <w:rPr>
          <w:rFonts w:ascii="Times New Roman" w:hAnsi="Times New Roman"/>
          <w:sz w:val="24"/>
          <w:szCs w:val="24"/>
        </w:rPr>
        <w:t xml:space="preserve"> nem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117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igényelhetik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A beszedési megbízásra vonatkozó felhatalmazó levél/levelek vagy a bankgarancia a Felelős Hatóság javára szólóan kiállítva, a Felelős Hatóság részére egy eredeti példányban a nyertes projektet benyújtó támogatást igénylő számlavezető bankja(i)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118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119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120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121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14284" w:type="dxa"/>
        <w:tblLook w:val="04A0" w:firstRow="1" w:lastRow="0" w:firstColumn="1" w:lastColumn="0" w:noHBand="0" w:noVBand="1"/>
      </w:tblPr>
      <w:tblGrid>
        <w:gridCol w:w="3652"/>
        <w:gridCol w:w="2631"/>
        <w:gridCol w:w="8001"/>
      </w:tblGrid>
      <w:tr w:rsidR="006352B7" w:rsidRPr="00905E2F" w14:paraId="777753D9" w14:textId="77777777" w:rsidTr="00FD2A7A">
        <w:tc>
          <w:tcPr>
            <w:tcW w:w="3652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megnevezése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6352B7" w:rsidRPr="00905E2F" w14:paraId="51A38EB9" w14:textId="77777777" w:rsidTr="00FD2A7A">
        <w:tc>
          <w:tcPr>
            <w:tcW w:w="3652" w:type="dxa"/>
            <w:vAlign w:val="center"/>
          </w:tcPr>
          <w:p w14:paraId="37D89FD2" w14:textId="70BF5058" w:rsidR="006352B7" w:rsidRPr="00AE5017" w:rsidRDefault="007F1A09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A09">
              <w:rPr>
                <w:rFonts w:ascii="Times New Roman" w:hAnsi="Times New Roman"/>
                <w:color w:val="000000"/>
                <w:sz w:val="24"/>
                <w:szCs w:val="24"/>
              </w:rPr>
              <w:t>Kialakított vagy korszerűsített egyéb határellenőrzési rendszerek száma</w:t>
            </w:r>
          </w:p>
        </w:tc>
        <w:tc>
          <w:tcPr>
            <w:tcW w:w="2631" w:type="dxa"/>
            <w:vAlign w:val="center"/>
          </w:tcPr>
          <w:p w14:paraId="0C781C06" w14:textId="5B9F004A" w:rsidR="006352B7" w:rsidRPr="00AE5017" w:rsidRDefault="00AE5017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fő</w:t>
            </w:r>
          </w:p>
        </w:tc>
        <w:tc>
          <w:tcPr>
            <w:tcW w:w="8001" w:type="dxa"/>
            <w:vAlign w:val="center"/>
          </w:tcPr>
          <w:p w14:paraId="76D7D8C2" w14:textId="722FC3A4" w:rsidR="006352B7" w:rsidRPr="00905E2F" w:rsidRDefault="00114634" w:rsidP="00FD2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634">
              <w:rPr>
                <w:rFonts w:ascii="Times New Roman" w:hAnsi="Times New Roman"/>
                <w:color w:val="000000"/>
                <w:sz w:val="24"/>
                <w:szCs w:val="24"/>
              </w:rPr>
              <w:t>515/2014/EU rendelet 2. cikk a) és c) pontjaiban meghatározott külső vagy id</w:t>
            </w:r>
            <w:r w:rsidRPr="0011463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114634">
              <w:rPr>
                <w:rFonts w:ascii="Times New Roman" w:hAnsi="Times New Roman"/>
                <w:color w:val="000000"/>
                <w:sz w:val="24"/>
                <w:szCs w:val="24"/>
              </w:rPr>
              <w:t>iglenes külső határokon határellenőrzésre használt, BBA külső határok és v</w:t>
            </w:r>
            <w:r w:rsidRPr="00114634">
              <w:rPr>
                <w:rFonts w:ascii="Times New Roman" w:hAnsi="Times New Roman"/>
                <w:color w:val="000000"/>
                <w:sz w:val="24"/>
                <w:szCs w:val="24"/>
              </w:rPr>
              <w:t>í</w:t>
            </w:r>
            <w:r w:rsidRPr="00114634">
              <w:rPr>
                <w:rFonts w:ascii="Times New Roman" w:hAnsi="Times New Roman"/>
                <w:color w:val="000000"/>
                <w:sz w:val="24"/>
                <w:szCs w:val="24"/>
              </w:rPr>
              <w:t>zumügy eszköz támogatásával beszerzett, felújított, továbbfejlesztett rendszerek száma (beleértve az informatikai rendszereket is).</w:t>
            </w:r>
          </w:p>
        </w:tc>
      </w:tr>
      <w:tr w:rsidR="00A4376F" w:rsidRPr="00905E2F" w14:paraId="7489BAAA" w14:textId="77777777" w:rsidTr="00FD2A7A">
        <w:tc>
          <w:tcPr>
            <w:tcW w:w="3652" w:type="dxa"/>
            <w:vAlign w:val="center"/>
          </w:tcPr>
          <w:p w14:paraId="5F39C998" w14:textId="268CC11B" w:rsidR="00A4376F" w:rsidRPr="00AE5017" w:rsidRDefault="00AE5017" w:rsidP="00FD2A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Beszerzett vagy korszerűsített es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közök</w:t>
            </w:r>
            <w:r w:rsidR="00FD2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száma</w:t>
            </w:r>
          </w:p>
        </w:tc>
        <w:tc>
          <w:tcPr>
            <w:tcW w:w="2631" w:type="dxa"/>
            <w:vAlign w:val="center"/>
          </w:tcPr>
          <w:p w14:paraId="46F7A6BB" w14:textId="7DDAED0C" w:rsidR="00A4376F" w:rsidRPr="00AE5017" w:rsidRDefault="00AE5017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5C43DF6" w14:textId="45D34AD5" w:rsidR="00A4376F" w:rsidRPr="00905E2F" w:rsidRDefault="00AE5017" w:rsidP="00FD2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BBA külső határok és vízumügy eszköz támogatásával beszerzett, felújított, t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vábbfejlesztett tárgyi eszközök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száma (elsősorban informatikai, technikai eszk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zök, immateriális javak), melyek bekerülési értéke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terv szerinti értékcsökkené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ként egy összegben nem számolható el a vonatkozó jogszabályok szerint tová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bá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egyedi bekerülési értékük meghaladja a nettó 200.000 Ft-os értékhatárt, ugyanakkor bele nem értve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017">
              <w:rPr>
                <w:rFonts w:ascii="Times New Roman" w:hAnsi="Times New Roman"/>
                <w:color w:val="000000"/>
                <w:sz w:val="24"/>
                <w:szCs w:val="24"/>
              </w:rPr>
              <w:t>a közös indikátorokkal mért eszközöket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122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I/A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I/A/1.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nem alanya az ÁFA-nak. Az elszámolásnál az ÁFA-val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ségeire vonatkozóan adólevonási jog nem illeti meg. Az elszámolásnál az ÁFA-val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(max.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(max.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(max.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I/A/2.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nem alanya az ÁFA-nak. Az elszámolásnál az ÁFA-val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ségeire vonatkozóan adólevonási jog nem illeti meg. Az elszámolásnál az ÁFA-val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(max.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Azon magánszemély/szervezet neve, akin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II/A.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(max. 90karakter, max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(max. 90karakter, ,max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(max.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(max.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rele-váns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max.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max.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tartalmának részletes bemutatása (a GANTT diagrammal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ges, a támogatást igénylő által biztosítandó számszerűsített  pénzügyi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’Igen’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disszeminációs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hogy mutassa be a konzorciumi partner szervezetnek a  projekt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hogy mutassa be az együttműködő partner szervezetnek a  projekt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>ban/útmutatóban meghatározott éve(ke)t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max.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’igen’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max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III/A/3.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(az elszámolható ktg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 Konzorciumi partner(ek)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6E2CD9" w:rsidRPr="006E2CD9">
              <w:rPr>
                <w:rFonts w:ascii="Times New Roman" w:hAnsi="Times New Roman"/>
                <w:sz w:val="24"/>
                <w:szCs w:val="24"/>
              </w:rPr>
              <w:t>A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Az N 355/2008. (SA.34087 és SA.36856) számú Magyar JEREMIE kockázatitőke program (Új Széchenyi kockázatitőke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lis Tőkebefektetési Alap kockázatitőke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362990">
        <w:rPr>
          <w:rFonts w:ascii="Times New Roman" w:hAnsi="Times New Roman"/>
          <w:b/>
          <w:bCs/>
          <w:sz w:val="24"/>
          <w:szCs w:val="24"/>
        </w:rPr>
        <w:lastRenderedPageBreak/>
        <w:t>IV/A.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Gantt-diagram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42694183" w14:textId="77777777" w:rsidR="00C803D9" w:rsidRPr="00C803D9" w:rsidRDefault="0032087D" w:rsidP="00C803D9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C803D9">
        <w:rPr>
          <w:rFonts w:ascii="Times New Roman" w:hAnsi="Times New Roman"/>
          <w:sz w:val="24"/>
          <w:szCs w:val="24"/>
        </w:rPr>
        <w:t xml:space="preserve"> </w:t>
      </w:r>
      <w:r w:rsidR="00C803D9" w:rsidRPr="00C803D9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>koztató, webáruház printscreen</w:t>
      </w:r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(pl: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8C5D24" w:rsidRDefault="008C5D24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8C5D24" w:rsidRDefault="008C5D24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8C5D24" w:rsidRDefault="008C5D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8C5D24" w:rsidRPr="00AA01FE" w:rsidRDefault="008C5D24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E56CD8">
      <w:rPr>
        <w:rFonts w:ascii="Times New Roman" w:hAnsi="Times New Roman"/>
        <w:b/>
        <w:bCs/>
        <w:noProof/>
      </w:rPr>
      <w:t>2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E56CD8">
      <w:rPr>
        <w:rFonts w:ascii="Times New Roman" w:hAnsi="Times New Roman"/>
        <w:b/>
        <w:bCs/>
        <w:noProof/>
      </w:rPr>
      <w:t>81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8C5D24" w:rsidRDefault="008C5D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8C5D24" w:rsidRDefault="008C5D24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8C5D24" w:rsidRDefault="008C5D24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8C5D24" w:rsidRPr="009A2523" w:rsidRDefault="008C5D2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56CD8">
      <w:rPr>
        <w:rStyle w:val="Oldalszm"/>
        <w:noProof/>
      </w:rPr>
      <w:t>51</w:t>
    </w:r>
    <w:r>
      <w:rPr>
        <w:rStyle w:val="Oldalszm"/>
      </w:rPr>
      <w:fldChar w:fldCharType="end"/>
    </w:r>
  </w:p>
  <w:p w14:paraId="39E8D495" w14:textId="77777777" w:rsidR="008C5D24" w:rsidRDefault="008C5D2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8C5D24" w:rsidRPr="009A2523" w:rsidRDefault="008C5D2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8C5D24" w:rsidRPr="00A60846" w:rsidRDefault="008C5D2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8C5D24" w:rsidRPr="00C06243" w:rsidRDefault="008C5D24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8C5D24" w:rsidRDefault="008C5D24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8C5D24" w:rsidRPr="009A2523" w:rsidRDefault="008C5D2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56CD8">
      <w:rPr>
        <w:rStyle w:val="Oldalszm"/>
        <w:noProof/>
      </w:rPr>
      <w:t>81</w:t>
    </w:r>
    <w:r>
      <w:rPr>
        <w:rStyle w:val="Oldalszm"/>
      </w:rPr>
      <w:fldChar w:fldCharType="end"/>
    </w:r>
  </w:p>
  <w:p w14:paraId="20F1BA34" w14:textId="77777777" w:rsidR="008C5D24" w:rsidRDefault="008C5D2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8C5D24" w:rsidRPr="009A2523" w:rsidRDefault="008C5D24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8C5D24" w:rsidRPr="00A60846" w:rsidRDefault="008C5D24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8C5D24" w:rsidRPr="00C06243" w:rsidRDefault="008C5D24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8C5D24" w:rsidRDefault="008C5D24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8C5D24" w:rsidRDefault="008C5D24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sz w:val="20"/>
          <w:szCs w:val="20"/>
        </w:rPr>
        <w:t xml:space="preserve">munkanapon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a)-f)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>e) kizárólag a küldemény címzettjeként megjelölt személy kezéhez történő kézbesítés;</w:t>
      </w:r>
    </w:p>
    <w:p w14:paraId="252D5763" w14:textId="77777777" w:rsidR="008C5D24" w:rsidRPr="00653CFA" w:rsidRDefault="008C5D24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653CFA">
        <w:rPr>
          <w:rFonts w:ascii="Times New Roman" w:hAnsi="Times New Roman"/>
          <w:i/>
          <w:iCs/>
        </w:rPr>
        <w:t>f) a küldeménynek a feladó lakóhelyén, tartózkodási helyén, székhelyén, telephelyén vagy fióktelepén történő felvétele</w:t>
      </w:r>
    </w:p>
  </w:footnote>
  <w:footnote w:id="2">
    <w:p w14:paraId="577E433C" w14:textId="77777777" w:rsidR="008C5D24" w:rsidRPr="00653CFA" w:rsidRDefault="008C5D24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</w:p>
  </w:footnote>
  <w:footnote w:id="3">
    <w:p w14:paraId="21E63F92" w14:textId="77777777" w:rsidR="008C5D24" w:rsidRPr="00601539" w:rsidRDefault="008C5D24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8C5D24" w:rsidRDefault="008C5D24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8C5D24" w:rsidRPr="00601539" w:rsidRDefault="008C5D24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8C5D24" w:rsidRPr="00D960FD" w:rsidRDefault="008C5D24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8C5D24" w:rsidRPr="00BB142E" w:rsidRDefault="008C5D24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8C5D24" w:rsidRPr="00BB142E" w:rsidRDefault="008C5D24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8C5D24" w:rsidRPr="00D960FD" w:rsidRDefault="008C5D24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8C5D24" w:rsidRPr="00BB142E" w:rsidRDefault="008C5D24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8C5D24" w:rsidRPr="00BB142E" w:rsidRDefault="008C5D24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8C5D24" w:rsidRPr="0061151C" w:rsidRDefault="008C5D24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8C5D24" w:rsidRDefault="008C5D24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8C5D24" w:rsidRDefault="008C5D24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8C5D24" w:rsidRPr="00B84EE2" w:rsidRDefault="008C5D24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8C5D24" w:rsidRPr="00412EC4" w:rsidRDefault="008C5D24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5457FEB0" w:rsidR="008C5D24" w:rsidRDefault="00E56CD8">
    <w:pPr>
      <w:pStyle w:val="lfej"/>
    </w:pPr>
    <w:r>
      <w:rPr>
        <w:noProof/>
      </w:rPr>
      <w:pict w14:anchorId="67236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2" o:spid="_x0000_s51202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025C729D" w:rsidR="008C5D24" w:rsidRDefault="00E56CD8">
    <w:pPr>
      <w:pStyle w:val="lfej"/>
    </w:pPr>
    <w:r>
      <w:rPr>
        <w:noProof/>
      </w:rPr>
      <w:pict w14:anchorId="7C487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3" o:spid="_x0000_s51203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36A86E07" w:rsidR="008C5D24" w:rsidRDefault="00E56CD8">
    <w:pPr>
      <w:pStyle w:val="lfej"/>
    </w:pPr>
    <w:r>
      <w:rPr>
        <w:noProof/>
      </w:rPr>
      <w:pict w14:anchorId="34AB9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1" o:spid="_x0000_s51201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0C71DA0D" w:rsidR="008C5D24" w:rsidRDefault="00E56CD8">
    <w:pPr>
      <w:pStyle w:val="lfej"/>
    </w:pPr>
    <w:r>
      <w:rPr>
        <w:noProof/>
      </w:rPr>
      <w:pict w14:anchorId="49A9A6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5" o:spid="_x0000_s51205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B9732E6" w:rsidR="008C5D24" w:rsidRPr="00B47A6C" w:rsidRDefault="00E56CD8" w:rsidP="00B47A6C">
    <w:pPr>
      <w:pStyle w:val="lfej"/>
    </w:pPr>
    <w:r>
      <w:rPr>
        <w:noProof/>
      </w:rPr>
      <w:pict w14:anchorId="6F81A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6" o:spid="_x0000_s51206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C5D24" w14:paraId="143FA3BE" w14:textId="77777777" w:rsidTr="00AD0BE0">
      <w:trPr>
        <w:jc w:val="center"/>
      </w:trPr>
      <w:tc>
        <w:tcPr>
          <w:tcW w:w="4323" w:type="dxa"/>
        </w:tcPr>
        <w:p w14:paraId="3536A895" w14:textId="0352D30F" w:rsidR="008C5D24" w:rsidRPr="00FA3890" w:rsidRDefault="00E56CD8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2D78835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632434" o:spid="_x0000_s51204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8C5D24" w:rsidRDefault="008C5D24" w:rsidP="00AD0BE0">
    <w:pPr>
      <w:pStyle w:val="lfej"/>
    </w:pPr>
  </w:p>
  <w:p w14:paraId="1809E7B6" w14:textId="77777777" w:rsidR="008C5D24" w:rsidRDefault="008C5D24" w:rsidP="00AD0BE0">
    <w:pPr>
      <w:pStyle w:val="lfej"/>
    </w:pPr>
  </w:p>
  <w:p w14:paraId="4F0AFA3F" w14:textId="77777777" w:rsidR="008C5D24" w:rsidRDefault="008C5D24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8C5D24" w:rsidRPr="00C06243" w:rsidRDefault="008C5D24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648DD320" w:rsidR="008C5D24" w:rsidRDefault="00E56CD8">
    <w:pPr>
      <w:pStyle w:val="lfej"/>
    </w:pPr>
    <w:r>
      <w:rPr>
        <w:noProof/>
      </w:rPr>
      <w:pict w14:anchorId="3CD578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8" o:spid="_x0000_s51208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19E0AB6D" w:rsidR="008C5D24" w:rsidRPr="00B47A6C" w:rsidRDefault="00E56CD8" w:rsidP="00B47A6C">
    <w:pPr>
      <w:pStyle w:val="lfej"/>
    </w:pPr>
    <w:r>
      <w:rPr>
        <w:noProof/>
      </w:rPr>
      <w:pict w14:anchorId="0E276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439" o:spid="_x0000_s51209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C5D24" w14:paraId="73211995" w14:textId="77777777" w:rsidTr="00AD0BE0">
      <w:trPr>
        <w:jc w:val="center"/>
      </w:trPr>
      <w:tc>
        <w:tcPr>
          <w:tcW w:w="4323" w:type="dxa"/>
        </w:tcPr>
        <w:p w14:paraId="1937D6F9" w14:textId="0B446636" w:rsidR="008C5D24" w:rsidRPr="00FA3890" w:rsidRDefault="00E56CD8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8D33FD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632437" o:spid="_x0000_s51207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8C5D24" w:rsidRPr="00FA3890" w:rsidRDefault="008C5D24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8C5D24" w:rsidRDefault="008C5D24" w:rsidP="00AD0BE0">
    <w:pPr>
      <w:pStyle w:val="lfej"/>
    </w:pPr>
  </w:p>
  <w:p w14:paraId="2F7FC325" w14:textId="77777777" w:rsidR="008C5D24" w:rsidRDefault="008C5D24" w:rsidP="00AD0BE0">
    <w:pPr>
      <w:pStyle w:val="lfej"/>
    </w:pPr>
  </w:p>
  <w:p w14:paraId="536E3E9A" w14:textId="77777777" w:rsidR="008C5D24" w:rsidRDefault="008C5D24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8C5D24" w:rsidRPr="00C06243" w:rsidRDefault="008C5D24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31B4A0C"/>
    <w:multiLevelType w:val="hybridMultilevel"/>
    <w:tmpl w:val="C9C41A92"/>
    <w:lvl w:ilvl="0" w:tplc="B16C17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8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7"/>
  </w:num>
  <w:num w:numId="4">
    <w:abstractNumId w:val="27"/>
  </w:num>
  <w:num w:numId="5">
    <w:abstractNumId w:val="14"/>
  </w:num>
  <w:num w:numId="6">
    <w:abstractNumId w:val="51"/>
  </w:num>
  <w:num w:numId="7">
    <w:abstractNumId w:val="42"/>
  </w:num>
  <w:num w:numId="8">
    <w:abstractNumId w:val="4"/>
  </w:num>
  <w:num w:numId="9">
    <w:abstractNumId w:val="31"/>
  </w:num>
  <w:num w:numId="10">
    <w:abstractNumId w:val="58"/>
  </w:num>
  <w:num w:numId="11">
    <w:abstractNumId w:val="15"/>
  </w:num>
  <w:num w:numId="12">
    <w:abstractNumId w:val="37"/>
  </w:num>
  <w:num w:numId="13">
    <w:abstractNumId w:val="21"/>
  </w:num>
  <w:num w:numId="14">
    <w:abstractNumId w:val="7"/>
  </w:num>
  <w:num w:numId="15">
    <w:abstractNumId w:val="1"/>
  </w:num>
  <w:num w:numId="16">
    <w:abstractNumId w:val="55"/>
  </w:num>
  <w:num w:numId="17">
    <w:abstractNumId w:val="36"/>
  </w:num>
  <w:num w:numId="18">
    <w:abstractNumId w:val="53"/>
  </w:num>
  <w:num w:numId="19">
    <w:abstractNumId w:val="9"/>
  </w:num>
  <w:num w:numId="20">
    <w:abstractNumId w:val="43"/>
  </w:num>
  <w:num w:numId="21">
    <w:abstractNumId w:val="33"/>
  </w:num>
  <w:num w:numId="22">
    <w:abstractNumId w:val="32"/>
  </w:num>
  <w:num w:numId="23">
    <w:abstractNumId w:val="47"/>
  </w:num>
  <w:num w:numId="24">
    <w:abstractNumId w:val="30"/>
  </w:num>
  <w:num w:numId="25">
    <w:abstractNumId w:val="50"/>
  </w:num>
  <w:num w:numId="26">
    <w:abstractNumId w:val="19"/>
  </w:num>
  <w:num w:numId="27">
    <w:abstractNumId w:val="26"/>
  </w:num>
  <w:num w:numId="28">
    <w:abstractNumId w:val="6"/>
  </w:num>
  <w:num w:numId="29">
    <w:abstractNumId w:val="13"/>
  </w:num>
  <w:num w:numId="30">
    <w:abstractNumId w:val="0"/>
  </w:num>
  <w:num w:numId="31">
    <w:abstractNumId w:val="49"/>
  </w:num>
  <w:num w:numId="32">
    <w:abstractNumId w:val="23"/>
  </w:num>
  <w:num w:numId="33">
    <w:abstractNumId w:val="45"/>
  </w:num>
  <w:num w:numId="34">
    <w:abstractNumId w:val="11"/>
  </w:num>
  <w:num w:numId="35">
    <w:abstractNumId w:val="52"/>
  </w:num>
  <w:num w:numId="36">
    <w:abstractNumId w:val="25"/>
  </w:num>
  <w:num w:numId="37">
    <w:abstractNumId w:val="34"/>
  </w:num>
  <w:num w:numId="38">
    <w:abstractNumId w:val="40"/>
  </w:num>
  <w:num w:numId="39">
    <w:abstractNumId w:val="20"/>
  </w:num>
  <w:num w:numId="40">
    <w:abstractNumId w:val="16"/>
  </w:num>
  <w:num w:numId="41">
    <w:abstractNumId w:val="12"/>
  </w:num>
  <w:num w:numId="42">
    <w:abstractNumId w:val="46"/>
  </w:num>
  <w:num w:numId="43">
    <w:abstractNumId w:val="56"/>
  </w:num>
  <w:num w:numId="44">
    <w:abstractNumId w:val="35"/>
  </w:num>
  <w:num w:numId="45">
    <w:abstractNumId w:val="10"/>
  </w:num>
  <w:num w:numId="46">
    <w:abstractNumId w:val="24"/>
  </w:num>
  <w:num w:numId="47">
    <w:abstractNumId w:val="54"/>
  </w:num>
  <w:num w:numId="48">
    <w:abstractNumId w:val="8"/>
  </w:num>
  <w:num w:numId="49">
    <w:abstractNumId w:val="57"/>
  </w:num>
  <w:num w:numId="50">
    <w:abstractNumId w:val="41"/>
  </w:num>
  <w:num w:numId="51">
    <w:abstractNumId w:val="3"/>
  </w:num>
  <w:num w:numId="52">
    <w:abstractNumId w:val="5"/>
  </w:num>
  <w:num w:numId="53">
    <w:abstractNumId w:val="39"/>
  </w:num>
  <w:num w:numId="54">
    <w:abstractNumId w:val="44"/>
  </w:num>
  <w:num w:numId="55">
    <w:abstractNumId w:val="28"/>
  </w:num>
  <w:num w:numId="56">
    <w:abstractNumId w:val="18"/>
  </w:num>
  <w:num w:numId="57">
    <w:abstractNumId w:val="48"/>
  </w:num>
  <w:num w:numId="58">
    <w:abstractNumId w:val="22"/>
  </w:num>
  <w:num w:numId="59">
    <w:abstractNumId w:val="26"/>
  </w:num>
  <w:num w:numId="60">
    <w:abstractNumId w:val="2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defaultTabStop w:val="708"/>
  <w:autoHyphenation/>
  <w:hyphenationZone w:val="142"/>
  <w:characterSpacingControl w:val="doNotCompress"/>
  <w:hdrShapeDefaults>
    <o:shapedefaults v:ext="edit" spidmax="51210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5F0C"/>
    <w:rsid w:val="00046621"/>
    <w:rsid w:val="0004687E"/>
    <w:rsid w:val="00046CC9"/>
    <w:rsid w:val="000476C8"/>
    <w:rsid w:val="00050055"/>
    <w:rsid w:val="00050F04"/>
    <w:rsid w:val="00052419"/>
    <w:rsid w:val="00053B42"/>
    <w:rsid w:val="0005451B"/>
    <w:rsid w:val="00054B94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487D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34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295A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40C"/>
    <w:rsid w:val="002E2FB0"/>
    <w:rsid w:val="002E40AE"/>
    <w:rsid w:val="002E4C8B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299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85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E4A9F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028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260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16DA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970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4F4A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2611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925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185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E7F92"/>
    <w:rsid w:val="007F0B65"/>
    <w:rsid w:val="007F1704"/>
    <w:rsid w:val="007F1A09"/>
    <w:rsid w:val="007F23AC"/>
    <w:rsid w:val="007F2E69"/>
    <w:rsid w:val="007F2EC0"/>
    <w:rsid w:val="007F4BDA"/>
    <w:rsid w:val="007F50E1"/>
    <w:rsid w:val="007F55C8"/>
    <w:rsid w:val="00802177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5D24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2CC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4E0D"/>
    <w:rsid w:val="00925BD6"/>
    <w:rsid w:val="00926C84"/>
    <w:rsid w:val="00930A1E"/>
    <w:rsid w:val="009319A9"/>
    <w:rsid w:val="00931E40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4717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017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91D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44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36A73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03D9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2BD"/>
    <w:rsid w:val="00CB436D"/>
    <w:rsid w:val="00CB43F6"/>
    <w:rsid w:val="00CB454E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510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26D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03E7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56CD8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A7ADD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139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700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A7A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0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Text1">
    <w:name w:val="Text 1"/>
    <w:basedOn w:val="Norml"/>
    <w:link w:val="Text1Char"/>
    <w:uiPriority w:val="99"/>
    <w:rsid w:val="00B1791D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Text1Char">
    <w:name w:val="Text 1 Char"/>
    <w:link w:val="Text1"/>
    <w:uiPriority w:val="99"/>
    <w:locked/>
    <w:rsid w:val="00B1791D"/>
    <w:rPr>
      <w:rFonts w:ascii="Times New Roman" w:eastAsia="Times New Roman" w:hAnsi="Times New Roman"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Text1">
    <w:name w:val="Text 1"/>
    <w:basedOn w:val="Norml"/>
    <w:link w:val="Text1Char"/>
    <w:uiPriority w:val="99"/>
    <w:rsid w:val="00B1791D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Text1Char">
    <w:name w:val="Text 1 Char"/>
    <w:link w:val="Text1"/>
    <w:uiPriority w:val="99"/>
    <w:locked/>
    <w:rsid w:val="00B1791D"/>
    <w:rPr>
      <w:rFonts w:ascii="Times New Roman" w:eastAsia="Times New Roman" w:hAnsi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A04E-4BC3-4823-B1C1-0D303618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81</Pages>
  <Words>19145</Words>
  <Characters>132103</Characters>
  <Application>Microsoft Office Word</Application>
  <DocSecurity>0</DocSecurity>
  <Lines>1100</Lines>
  <Paragraphs>301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150947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dr. Vábró László</cp:lastModifiedBy>
  <cp:revision>11</cp:revision>
  <cp:lastPrinted>2019-04-01T13:42:00Z</cp:lastPrinted>
  <dcterms:created xsi:type="dcterms:W3CDTF">2019-06-17T15:00:00Z</dcterms:created>
  <dcterms:modified xsi:type="dcterms:W3CDTF">2019-06-17T15:31:00Z</dcterms:modified>
</cp:coreProperties>
</file>